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y"/>
        <w:jc w:val="center"/>
        <w:rPr/>
      </w:pPr>
      <w:r>
        <w:rPr>
          <w:rStyle w:val="Predvolenpsmoodseku"/>
          <w:b/>
          <w:sz w:val="28"/>
          <w:szCs w:val="28"/>
        </w:rPr>
        <w:t>ZMENY STANOV SPK</w:t>
      </w:r>
    </w:p>
    <w:p>
      <w:pPr>
        <w:pStyle w:val="Normlny"/>
        <w:jc w:val="center"/>
        <w:rPr/>
      </w:pPr>
      <w:r>
        <w:rPr/>
        <w:t>prijaté na V. sneme SPK vo Zvolene 30.04.2016</w:t>
      </w:r>
    </w:p>
    <w:p>
      <w:pPr>
        <w:pStyle w:val="Normlny"/>
        <w:jc w:val="center"/>
        <w:rPr/>
      </w:pPr>
      <w:r>
        <w:rPr/>
      </w:r>
    </w:p>
    <w:p>
      <w:pPr>
        <w:pStyle w:val="Normlny"/>
        <w:rPr/>
      </w:pPr>
      <w:r>
        <w:rPr/>
        <w:t xml:space="preserve">V § 1 ods. 1 za slovom jednotná sa dopĺňa slovo „stavovská“ </w:t>
      </w:r>
    </w:p>
    <w:p>
      <w:pPr>
        <w:pStyle w:val="Normlny"/>
        <w:rPr/>
      </w:pPr>
      <w:r>
        <w:rPr/>
        <w:t>V § 1 ods. 2 je vložený  nový text „ SPK je právnickou osobou, ktorá sa člení na obvodné poľovnícke komory (ďalej len „OPK“), ktoré majú právnu subjektivitu v rozsahu ustanovenom zákonom, stanovami a vnútornými predpismi  SPK“:</w:t>
      </w:r>
    </w:p>
    <w:p>
      <w:pPr>
        <w:pStyle w:val="Normlny"/>
        <w:rPr/>
      </w:pPr>
      <w:r>
        <w:rPr/>
        <w:t>V § 1 ods. 2 má nové číslo  „ods. 3.“</w:t>
      </w:r>
    </w:p>
    <w:p>
      <w:pPr>
        <w:pStyle w:val="Normlny"/>
        <w:rPr/>
      </w:pPr>
      <w:r>
        <w:rPr/>
        <w:t>V § 1 ods. 4 sa dopĺňa prvá veta nasledovne. „ SPK svoju činnosť  uskutočňuje prostredníctvom svojich orgánov, organizačných jednotiek- OPK a členov“.  Nasleduje pôvodný text, kde slovo zložky sa nahrádza slovom „jednotky.“</w:t>
      </w:r>
    </w:p>
    <w:p>
      <w:pPr>
        <w:pStyle w:val="Normlny"/>
        <w:rPr/>
      </w:pPr>
      <w:r>
        <w:rPr/>
        <w:t>V § 2 ods. 3 sa slová „IČO SPK“  nahrádza slovom „IČO:“.</w:t>
      </w:r>
    </w:p>
    <w:p>
      <w:pPr>
        <w:pStyle w:val="Normlny"/>
        <w:rPr/>
      </w:pPr>
      <w:r>
        <w:rPr/>
        <w:t>V § 3 ods. 1 písm. i) sa slová (ďalej len ministerstvo) menia na slová  (ďalej len „ministerstvo“) a vkladajú sa za tento text  slová  „a s inými organizáciami“.</w:t>
      </w:r>
    </w:p>
    <w:p>
      <w:pPr>
        <w:pStyle w:val="Normlny"/>
        <w:rPr/>
      </w:pPr>
      <w:r>
        <w:rPr/>
        <w:t>V § 6 ods. 2 sa  slová „obvodnej poľovníckej komory (ďalej len OPK)“  nahrádzajú slovami „OPK“  a za slovo „žiadateľ“ sa vkladá slovo „trvalé“.</w:t>
      </w:r>
    </w:p>
    <w:p>
      <w:pPr>
        <w:pStyle w:val="Normlny"/>
        <w:rPr/>
      </w:pPr>
      <w:r>
        <w:rPr/>
        <w:t>V § 6 ods. 3 sa za slovo „majú“ vkladá slovo „trvalé“ a za slovo „eviduje“  slovo „kancelária“.</w:t>
      </w:r>
    </w:p>
    <w:p>
      <w:pPr>
        <w:pStyle w:val="Normlny"/>
        <w:rPr/>
      </w:pPr>
      <w:r>
        <w:rPr/>
        <w:t>V § 6 ods. 5 sa v druhej vete za slová „ktoré rozhodne“  vkladajú slová „ o prijatí alebo neprijatí“ a posledná veta sa vypúšťa.</w:t>
      </w:r>
    </w:p>
    <w:p>
      <w:pPr>
        <w:pStyle w:val="Normlny"/>
        <w:rPr/>
      </w:pPr>
      <w:r>
        <w:rPr/>
        <w:t>V § 6 ods. 6 sa na konci prvej vety dopĺňajú slová „ak o to fyzická osoba prejaví záujem“.</w:t>
      </w:r>
    </w:p>
    <w:p>
      <w:pPr>
        <w:pStyle w:val="Normlny"/>
        <w:rPr/>
      </w:pPr>
      <w:r>
        <w:rPr/>
        <w:t>V § 6 ods. 7 písm. g) sa vypúšťa písmeno „g“ a text ostáva.</w:t>
      </w:r>
    </w:p>
    <w:p>
      <w:pPr>
        <w:pStyle w:val="Normlny"/>
        <w:rPr/>
      </w:pPr>
      <w:r>
        <w:rPr/>
        <w:t>V § 6 ods. 8 písm. c) sa za slová „ na všetkých úrovniach“ dopĺňa čiarka a text „pričom rovnaká osoba nesmie byť volená vo vzájomnom kontrolnom vzťahu,“.</w:t>
      </w:r>
    </w:p>
    <w:p>
      <w:pPr>
        <w:pStyle w:val="Normlny"/>
        <w:rPr/>
      </w:pPr>
      <w:r>
        <w:rPr/>
        <w:t>V § 6 ods. 8 sa za písmeno „e“ vkladá nové písmeno „f“ a text „člen SPK sa nemôže nechať zastupovať v činnostiach uvedených pod písmenami b) až e)“.</w:t>
      </w:r>
    </w:p>
    <w:p>
      <w:pPr>
        <w:pStyle w:val="Normlny"/>
        <w:rPr/>
      </w:pPr>
      <w:r>
        <w:rPr/>
        <w:t>V § 6 ods. 9 písm. f) sa mení  text nasledovne a znie „zaplatiť členský príspevok najneskôr do 31. marca kalendárneho roku a účelový príspevok v určenej lehote“.</w:t>
      </w:r>
    </w:p>
    <w:p>
      <w:pPr>
        <w:pStyle w:val="Normlny"/>
        <w:rPr/>
      </w:pPr>
      <w:r>
        <w:rPr/>
        <w:t>V § 7 ods. 6 písm. c) text znie „nezaplatením členského alebo účelového príspevku na základe preukázateľne  doručeného výmeru  od OPK obsahujúceho sumu členského alebo účelového príspevku, číslo účtu na ktorý má byť platba uskutočnená a určenie lehoty na zaplatenie; výmer musí obsahovať aj upozornenie na zánik členstva v SPK,“.</w:t>
      </w:r>
    </w:p>
    <w:p>
      <w:pPr>
        <w:pStyle w:val="Normlny"/>
        <w:rPr/>
      </w:pPr>
      <w:r>
        <w:rPr/>
        <w:t>V § 7 ods. 8 písm. b) sa slovo „pracovníkov“ nahrádza za slovo „zamestnancov“.</w:t>
      </w:r>
    </w:p>
    <w:p>
      <w:pPr>
        <w:pStyle w:val="Normlny"/>
        <w:rPr/>
      </w:pPr>
      <w:r>
        <w:rPr/>
        <w:t>V § 10 sa vkladá ods. 1</w:t>
      </w:r>
    </w:p>
    <w:p>
      <w:pPr>
        <w:pStyle w:val="Normlny"/>
        <w:rPr/>
      </w:pPr>
      <w:r>
        <w:rPr/>
        <w:t>V § 10 ods. 1 písm. d)  slová  (ďalej len  DR SPK)  sa nahrádzajú  slovami „(ďalej len  „DR SPK“)“.,</w:t>
      </w:r>
    </w:p>
    <w:p>
      <w:pPr>
        <w:pStyle w:val="Normlny"/>
        <w:rPr/>
      </w:pPr>
      <w:r>
        <w:rPr/>
        <w:t>V § 10 ods. 1 písm. e) slová (ďalej len DK SPK)  sa nahrádzajú slovami  „(ďalej len „DK SPK“)“.</w:t>
      </w:r>
    </w:p>
    <w:p>
      <w:pPr>
        <w:pStyle w:val="Normlny"/>
        <w:rPr/>
      </w:pPr>
      <w:r>
        <w:rPr/>
        <w:t>V § 10 sa vkladá ods. 2, ktorý znie „ Funkčné obdobie orgánov SPK je päťročné“.</w:t>
      </w:r>
    </w:p>
    <w:p>
      <w:pPr>
        <w:pStyle w:val="Normlny"/>
        <w:rPr/>
      </w:pPr>
      <w:r>
        <w:rPr/>
        <w:t>V § 10 sa vkladá ods. 3, ktorý znie „ Ak členstvo v orgáne SPK vznikne medzi výročnými snemami, končí na najbližšom výročnom sneme“.</w:t>
      </w:r>
    </w:p>
    <w:p>
      <w:pPr>
        <w:pStyle w:val="Normlny"/>
        <w:rPr/>
      </w:pPr>
      <w:r>
        <w:rPr/>
        <w:t>V § 11 ods. 2 sa za slová „raz za rok“ vkladajú slová „ najneskôr do konca apríla bežného roka“.</w:t>
      </w:r>
    </w:p>
    <w:p>
      <w:pPr>
        <w:pStyle w:val="Normlny"/>
        <w:rPr/>
      </w:pPr>
      <w:r>
        <w:rPr/>
        <w:t>V § 11 ods. 3 sa za slovom „prezídium“ vkladá slovo „SPK“ a slová „stanoveného kľúča“ sa nahrádzajú slovami „kľúča jeden delegát na každých aj začatých 500 členov SPK“.</w:t>
      </w:r>
    </w:p>
    <w:p>
      <w:pPr>
        <w:pStyle w:val="Normlny"/>
        <w:rPr/>
      </w:pPr>
      <w:r>
        <w:rPr/>
        <w:t>V § 11 ods. 4  sa slovo „OPK“ zamieňa za slovo „SPK“.</w:t>
      </w:r>
    </w:p>
    <w:p>
      <w:pPr>
        <w:pStyle w:val="Normlny"/>
        <w:rPr/>
      </w:pPr>
      <w:r>
        <w:rPr/>
        <w:t>V § 11 ods. 5 písm. j) sa slová „DK SPK“ vypúšťajú a nahradzujú sa slovami „DR SPK“.</w:t>
      </w:r>
    </w:p>
    <w:p>
      <w:pPr>
        <w:pStyle w:val="Normlny"/>
        <w:rPr/>
      </w:pPr>
      <w:r>
        <w:rPr/>
        <w:t>V § 11 ods. 6 písm. c) sa slovo „SPK“ nahrádza  slovami „ na úseku vykonávania kurzov uchádzačov o prvý poľovný lístok“,</w:t>
      </w:r>
    </w:p>
    <w:p>
      <w:pPr>
        <w:pStyle w:val="Normlny"/>
        <w:rPr/>
      </w:pPr>
      <w:r>
        <w:rPr/>
        <w:t>V § 12 ods. 4 písm. d) sa slovo „zložiek“ nahrádza slovom „jednotiek“,</w:t>
      </w:r>
    </w:p>
    <w:p>
      <w:pPr>
        <w:pStyle w:val="Normlny"/>
        <w:rPr/>
      </w:pPr>
      <w:r>
        <w:rPr/>
        <w:t>V § 12 ods. 4 písm. g) sa mení nasledovne „vydáva vnútorné predpisy SPK  na úseku:</w:t>
      </w:r>
    </w:p>
    <w:p>
      <w:pPr>
        <w:pStyle w:val="Odsekzoznamu"/>
        <w:numPr>
          <w:ilvl w:val="0"/>
          <w:numId w:val="2"/>
        </w:numPr>
        <w:rPr/>
      </w:pPr>
      <w:r>
        <w:rPr/>
        <w:t>vydávania poľovných lístkov,</w:t>
      </w:r>
    </w:p>
    <w:p>
      <w:pPr>
        <w:pStyle w:val="Odsekzoznamu"/>
        <w:numPr>
          <w:ilvl w:val="0"/>
          <w:numId w:val="2"/>
        </w:numPr>
        <w:rPr/>
      </w:pPr>
      <w:r>
        <w:rPr/>
        <w:t>organizácie chovateľských prehliadok,</w:t>
      </w:r>
    </w:p>
    <w:p>
      <w:pPr>
        <w:pStyle w:val="Odsekzoznamu"/>
        <w:numPr>
          <w:ilvl w:val="0"/>
          <w:numId w:val="2"/>
        </w:numPr>
        <w:rPr/>
      </w:pPr>
      <w:r>
        <w:rPr/>
        <w:t>používania symbolov SPK“,</w:t>
      </w:r>
    </w:p>
    <w:p>
      <w:pPr>
        <w:pStyle w:val="Normlny"/>
        <w:rPr/>
      </w:pPr>
      <w:r>
        <w:rPr/>
        <w:t xml:space="preserve"> </w:t>
      </w:r>
      <w:r>
        <w:rPr/>
        <w:t>V § 12 ods. 4 písm. i)  sa slovo „pracovníkov“ nahrádza slovom „zamestnancov“.</w:t>
      </w:r>
    </w:p>
    <w:p>
      <w:pPr>
        <w:pStyle w:val="Normlny"/>
        <w:rPr/>
      </w:pPr>
      <w:r>
        <w:rPr/>
        <w:t xml:space="preserve">V § 12 ods. 6  sa slovo „pracovníkov“ nahrádza slovom „zamestnancov“.    </w:t>
      </w:r>
    </w:p>
    <w:p>
      <w:pPr>
        <w:pStyle w:val="Normlny"/>
        <w:rPr/>
      </w:pPr>
      <w:r>
        <w:rPr/>
        <w:t>V § 14 ods. 1 písm. a) sa za slovo „záväzných“ dopĺňa slovo „právnych“.</w:t>
      </w:r>
    </w:p>
    <w:p>
      <w:pPr>
        <w:pStyle w:val="Normlny"/>
        <w:rPr/>
      </w:pPr>
      <w:r>
        <w:rPr/>
        <w:t>V § 15 ods. 2 znie „DK SPK môže rozhodnúť o odňatí riešenia disciplinárneho prípadu miestne príslušnej obvodnej disciplinárnej komisii a odstúpiť vec na riešenie inej obvodnej disciplinárnej komisii, ak sú vznesené námietky  zaujatosti proti miestne príslušnej obvodnej disciplinárnej komisii“.</w:t>
      </w:r>
    </w:p>
    <w:p>
      <w:pPr>
        <w:pStyle w:val="Normlny"/>
        <w:rPr/>
      </w:pPr>
      <w:r>
        <w:rPr/>
        <w:t>V § 16 sa vypúšťa ods. 2</w:t>
      </w:r>
    </w:p>
    <w:p>
      <w:pPr>
        <w:pStyle w:val="Normlny"/>
        <w:rPr/>
      </w:pPr>
      <w:r>
        <w:rPr/>
        <w:t>V § 16 sa doterajší odsek 3 označuje ako odsek 2</w:t>
      </w:r>
    </w:p>
    <w:p>
      <w:pPr>
        <w:pStyle w:val="Normlny"/>
        <w:rPr/>
      </w:pPr>
      <w:r>
        <w:rPr/>
        <w:t>V § 17 ods. 1 znie „OPK pôsobí spravidla v územnom obvode okresného úradu a združuje základné organizačné jednotky SPK, ktorými sú užívatelia poľovných revírov v obvode jej pôsobnosti a základné organizačné jednotky, ktoré nie sú užívateľmi revíru, ale v obvode jej pôsobnosti majú sídlo , ako aj fyzické osoby- členov SPK s trvalým pobytom v obvode jej pôsobnosti, ktorí nie sú členmi žiadnej organizačnej jednotky SPK. Návrh na vznik OPK predkladá prezídiu SPK prípravný výbor, ktorý preukáže aké územie a akú členskú základňu zastupuje notárskou zápisnicou zo zhromaždenia fyzických osôb a právnických osôb, ktoré tvoria novú OPK. Prezídium SPK o návrhu rozhodne  na najbližšom zasadnutí.</w:t>
      </w:r>
    </w:p>
    <w:p>
      <w:pPr>
        <w:pStyle w:val="Normlny"/>
        <w:rPr/>
      </w:pPr>
      <w:r>
        <w:rPr/>
        <w:t>V § 17 ods. 2 sa vypúšťa</w:t>
      </w:r>
    </w:p>
    <w:p>
      <w:pPr>
        <w:pStyle w:val="Normlny"/>
        <w:rPr/>
      </w:pPr>
      <w:r>
        <w:rPr/>
        <w:t>V § 17 sa doterajší odsek 3 označuje ako odsek 2</w:t>
      </w:r>
    </w:p>
    <w:p>
      <w:pPr>
        <w:pStyle w:val="Normlny"/>
        <w:rPr/>
      </w:pPr>
      <w:r>
        <w:rPr/>
        <w:t>V § 17 sa doterajší odsek 4 označuje ako odsek 3</w:t>
      </w:r>
    </w:p>
    <w:p>
      <w:pPr>
        <w:pStyle w:val="Normlny"/>
        <w:rPr/>
      </w:pPr>
      <w:r>
        <w:rPr/>
        <w:t>V § 17 doterajší odsek 5 sa označuje ako odsek 4 a za textom uvedeným pod písmenom e) sa vkladá nová veta „Na členstvo v orgánoch OPK sa použijú obdobne ustanovenia § 10 ods. 2 a 3“.</w:t>
      </w:r>
    </w:p>
    <w:p>
      <w:pPr>
        <w:pStyle w:val="Normlny"/>
        <w:rPr/>
      </w:pPr>
      <w:r>
        <w:rPr/>
        <w:t>V § 17 doterajší odsek 6 sa označuje ako odsek 5 a slová „má vlastnú právnu subjektivitu“ sa vynechávajú</w:t>
      </w:r>
    </w:p>
    <w:p>
      <w:pPr>
        <w:pStyle w:val="Normlny"/>
        <w:rPr/>
      </w:pPr>
      <w:r>
        <w:rPr/>
        <w:t>V § 17 ods. 6 znie „Zoznam OPK tvorí  prílohu č. 4 Stanov SPK; OPK sú povinné priebežne aktualizovať údaje do zoznamu ak sa údaje zmenia“.</w:t>
      </w:r>
    </w:p>
    <w:p>
      <w:pPr>
        <w:pStyle w:val="Normlny"/>
        <w:rPr/>
      </w:pPr>
      <w:r>
        <w:rPr/>
        <w:t>V § 18 ods. 1 znie „ Výročná konferencia sa uskutočňuje raz za 5 rokov a je zhromaždením delegátov s hlasom rozhodujúcim.</w:t>
      </w:r>
    </w:p>
    <w:p>
      <w:pPr>
        <w:pStyle w:val="Odsekzoznamu"/>
        <w:numPr>
          <w:ilvl w:val="0"/>
          <w:numId w:val="3"/>
        </w:numPr>
        <w:rPr/>
      </w:pPr>
      <w:r>
        <w:rPr/>
        <w:t>zvolených základnými organizačnými jednotkami SPK v územnej pôsobnosti OPK, s kľúčom stanoveným predstavenstvom OPK,</w:t>
      </w:r>
    </w:p>
    <w:p>
      <w:pPr>
        <w:pStyle w:val="Odsekzoznamu"/>
        <w:numPr>
          <w:ilvl w:val="0"/>
          <w:numId w:val="3"/>
        </w:numPr>
        <w:rPr/>
      </w:pPr>
      <w:r>
        <w:rPr/>
        <w:t>zvolených fyzickými osobami s trvalým pobytom v územnej  pôsobnosti  OPK, ktoré nie sú členmi  alebo zamestnancami žiadnej organizačnej jednotky SPK, s kľúčom stanoveným predstavenstvom OPK,</w:t>
      </w:r>
    </w:p>
    <w:p>
      <w:pPr>
        <w:pStyle w:val="Odsekzoznamu"/>
        <w:numPr>
          <w:ilvl w:val="0"/>
          <w:numId w:val="3"/>
        </w:numPr>
        <w:rPr/>
      </w:pPr>
      <w:r>
        <w:rPr/>
        <w:t>členov predstavenstva OPK, predsedu obvodnej dozornej rady a predsedu obvodnej disciplinárnej komisie, ak neboli zvolení za delegátov výročnej konferencie.</w:t>
      </w:r>
    </w:p>
    <w:p>
      <w:pPr>
        <w:pStyle w:val="Normlny"/>
        <w:rPr/>
      </w:pPr>
      <w:r>
        <w:rPr/>
        <w:t xml:space="preserve">Vyslaní zástupca SPK ani hostia pozvaní predstavenstvom OPK nemajú hlasovacie právo“.    </w:t>
      </w:r>
    </w:p>
    <w:p>
      <w:pPr>
        <w:pStyle w:val="Normlny"/>
        <w:rPr/>
      </w:pPr>
      <w:r>
        <w:rPr/>
        <w:t>V § 18 ods. 2 znie „Zhromaždenie fyzických osôb podľa odseku 1 písm. b) zvoláva predseda OPK pozvánkou zverejnenou na webovom sídle SPK a webovom sídle OPK ak je zriadené, najmenej 15 dní pred začiatkom konferencie“.</w:t>
      </w:r>
    </w:p>
    <w:p>
      <w:pPr>
        <w:pStyle w:val="Normlny"/>
        <w:rPr/>
      </w:pPr>
      <w:r>
        <w:rPr/>
        <w:t>V § 18 ods. 3 písm. b) sa vypúšťajú slová „ na vytvorenie novej OPK“</w:t>
      </w:r>
    </w:p>
    <w:p>
      <w:pPr>
        <w:pStyle w:val="Normlny"/>
        <w:rPr/>
      </w:pPr>
      <w:r>
        <w:rPr/>
        <w:t xml:space="preserve">V § 18 ods. 5 znie „Konferencie sa ako delegáti zúčastňujú za každého člena- právnickú osobu jeden z delegátov, ktorí boli zvolení na výročnú konferenciu, alebo ho určia orgány príslušnej právnickej osoby, resp. rozhodnú o vyslaní iného delegáta. Delegátov zvolených podľa odseku 1 písm. b) zastupuje nimi určený zvolený delegát. Zvolený delegát sa nemôže nechať zastupovať na základe splnomocnenia. </w:t>
      </w:r>
    </w:p>
    <w:p>
      <w:pPr>
        <w:pStyle w:val="Normlny"/>
        <w:rPr/>
      </w:pPr>
      <w:r>
        <w:rPr/>
        <w:t>Konferencie sa ako delegáti zúčastňujú i členovia predstavenstva OPK, predseda obvodnej dozornej rady a predseda obvodnej disciplinárnej komisie.</w:t>
      </w:r>
    </w:p>
    <w:p>
      <w:pPr>
        <w:pStyle w:val="Normlny"/>
        <w:rPr/>
      </w:pPr>
      <w:r>
        <w:rPr/>
        <w:t>Konferencie sa  zúčastňuje i zástupca vyslaný SPK a hostia, ktorých môže pozvať predstavenstvo OPK. Tieto osoby nemajú hlasovacie právo. Konferencie zvoláva predstavenstvo OPK písomnými pozvánkami najmenej 14 dní vopred s uvedením programu rokovania. Mimoriadne konferencie zvoláva predstavenstvo  OPK z vlastného podnetu, alebo ak o zvolanie mimoriadnej konferencie požiada viac ako tretina členov- právnických osôb, ktoré sú oprávnené na konferenciu vyslať delegáta alebo ak o jej zvolanie požiada prezídium SPK alebo ministerstvo.</w:t>
      </w:r>
    </w:p>
    <w:p>
      <w:pPr>
        <w:pStyle w:val="Normlny"/>
        <w:rPr/>
      </w:pPr>
      <w:r>
        <w:rPr/>
        <w:t>Ak predstavenstvo mimoriadnu konferenciu nezvolá do 30 dní od doručenia žiadosti, zvolá ju prezídium SPK na náklady OPK“.</w:t>
      </w:r>
    </w:p>
    <w:p>
      <w:pPr>
        <w:pStyle w:val="Normlny"/>
        <w:rPr/>
      </w:pPr>
      <w:r>
        <w:rPr/>
        <w:t>V § 18  sa doterajší odsek 7 označuje ako odsek 6</w:t>
      </w:r>
    </w:p>
    <w:p>
      <w:pPr>
        <w:pStyle w:val="Normlny"/>
        <w:rPr/>
      </w:pPr>
      <w:r>
        <w:rPr/>
        <w:t>V § 19 ods. 1 sa vypúšťajú slová „je výkonným orgánom OPK“ a nahrádzajú sa slovami „a konferenciou zvolený predseda sú výkonnými orgánmi OPK“,</w:t>
      </w:r>
    </w:p>
    <w:p>
      <w:pPr>
        <w:pStyle w:val="Normlny"/>
        <w:rPr/>
      </w:pPr>
      <w:r>
        <w:rPr/>
        <w:t>V § 19 ods. 1 písm. b)  znie „určuje, ktorá poľovnícka organizácia alebo jej organizačná zložka s právnou subjektivitou alebo orgán OPK plní úlohy vyplývajúce z § 42 ods. 1 zákona okrem písm. a), b), d)  a m) v podmienkach OPK“,</w:t>
      </w:r>
    </w:p>
    <w:p>
      <w:pPr>
        <w:pStyle w:val="Normlny"/>
        <w:rPr/>
      </w:pPr>
      <w:r>
        <w:rPr/>
        <w:t xml:space="preserve"> </w:t>
      </w:r>
      <w:r>
        <w:rPr/>
        <w:t>§ 19 ods. 1 písm. e) sa za slová „organizuje teoretickú“ vkladá čiarka a text „streleckú prípravu“</w:t>
      </w:r>
    </w:p>
    <w:p>
      <w:pPr>
        <w:pStyle w:val="Normlny"/>
        <w:rPr/>
      </w:pPr>
      <w:r>
        <w:rPr/>
        <w:t>V § 20 ods. 1 sa vypúšťajú slová  „vedúceho kancelárie OPK a z“ a slovo „pracovníkov“ sa nahrádza slovom „zamestnancov“.</w:t>
      </w:r>
    </w:p>
    <w:p>
      <w:pPr>
        <w:pStyle w:val="Normlny"/>
        <w:rPr/>
      </w:pPr>
      <w:r>
        <w:rPr/>
        <w:t>V § 21 ods. 4  sa slovo „podpredseda“ nahrádza slovami „člen predstavenstva“.</w:t>
      </w:r>
    </w:p>
    <w:p>
      <w:pPr>
        <w:pStyle w:val="Normlny"/>
        <w:rPr/>
      </w:pPr>
      <w:r>
        <w:rPr/>
        <w:t xml:space="preserve">V § 23 ods. 1 sa za slovo „je“ vkladá slovo „prvostupňový“.   </w:t>
      </w:r>
    </w:p>
    <w:p>
      <w:pPr>
        <w:pStyle w:val="Normlny"/>
        <w:rPr/>
      </w:pPr>
      <w:r>
        <w:rPr/>
        <w:t>V § 23 ods. 2 sa za slovo „volí“ vkladá slovo „výročná“.</w:t>
      </w:r>
    </w:p>
    <w:p>
      <w:pPr>
        <w:pStyle w:val="Normlny"/>
        <w:rPr/>
      </w:pPr>
      <w:r>
        <w:rPr/>
        <w:t xml:space="preserve">§ 26 znie: </w:t>
      </w:r>
    </w:p>
    <w:p>
      <w:pPr>
        <w:pStyle w:val="Normlny"/>
        <w:jc w:val="center"/>
        <w:rPr/>
      </w:pPr>
      <w:r>
        <w:rPr/>
        <w:t>„</w:t>
      </w:r>
      <w:r>
        <w:rPr/>
        <w:t>§ 26</w:t>
      </w:r>
    </w:p>
    <w:p>
      <w:pPr>
        <w:pStyle w:val="Normlny"/>
        <w:jc w:val="center"/>
        <w:rPr>
          <w:b/>
          <w:b/>
        </w:rPr>
      </w:pPr>
      <w:r>
        <w:rPr>
          <w:b/>
        </w:rPr>
        <w:t>Účinnosť</w:t>
      </w:r>
    </w:p>
    <w:p>
      <w:pPr>
        <w:pStyle w:val="Normlny"/>
        <w:rPr/>
      </w:pPr>
      <w:r>
        <w:rPr/>
        <w:t>Stanovy schválené ustanovujúcim snemom 23.1. 2010 v znení zmien a doplnkov:</w:t>
      </w:r>
    </w:p>
    <w:p>
      <w:pPr>
        <w:pStyle w:val="Odsekzoznamu"/>
        <w:numPr>
          <w:ilvl w:val="0"/>
          <w:numId w:val="4"/>
        </w:numPr>
        <w:rPr/>
      </w:pPr>
      <w:r>
        <w:rPr/>
        <w:t>schválených snemom 11.júna 2011,</w:t>
      </w:r>
    </w:p>
    <w:p>
      <w:pPr>
        <w:pStyle w:val="Odsekzoznamu"/>
        <w:numPr>
          <w:ilvl w:val="0"/>
          <w:numId w:val="4"/>
        </w:numPr>
        <w:rPr/>
      </w:pPr>
      <w:r>
        <w:rPr/>
        <w:t>schválených snemom 22.júna 2013,</w:t>
      </w:r>
    </w:p>
    <w:p>
      <w:pPr>
        <w:pStyle w:val="Odsekzoznamu"/>
        <w:numPr>
          <w:ilvl w:val="0"/>
          <w:numId w:val="4"/>
        </w:numPr>
        <w:rPr/>
      </w:pPr>
      <w:r>
        <w:rPr/>
        <w:t>schválených snemom 30. apríla 2016“.</w:t>
      </w:r>
    </w:p>
    <w:p>
      <w:pPr>
        <w:pStyle w:val="Normlny"/>
        <w:rPr/>
      </w:pPr>
      <w:r>
        <w:rPr/>
        <w:t xml:space="preserve">                       </w:t>
      </w:r>
    </w:p>
    <w:p>
      <w:pPr>
        <w:pStyle w:val="Normlny"/>
        <w:rPr/>
      </w:pPr>
      <w:r>
        <w:rPr/>
      </w:r>
    </w:p>
    <w:p>
      <w:pPr>
        <w:pStyle w:val="Normlny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2490" w:hanging="360"/>
      </w:p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sk-SK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sk-SK" w:eastAsia="en-US" w:bidi="ar-SA"/>
    </w:rPr>
  </w:style>
  <w:style w:type="paragraph" w:styleId="Nadpis1">
    <w:name w:val="Nadpis 1"/>
    <w:basedOn w:val="Nadpis"/>
    <w:next w:val="Telotex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next w:val="Telotex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next w:val="Te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Predvolenpsmoodseku">
    <w:name w:val="Predvolené písmo odseku"/>
    <w:qFormat/>
    <w:rPr/>
  </w:style>
  <w:style w:type="paragraph" w:styleId="Normlny">
    <w:name w:val="Normá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sk-SK" w:eastAsia="en-US" w:bidi="ar-SA"/>
    </w:rPr>
  </w:style>
  <w:style w:type="paragraph" w:styleId="Odsekzoznamu">
    <w:name w:val="Odsek zoznamu"/>
    <w:basedOn w:val="Normlny"/>
    <w:qFormat/>
    <w:pPr>
      <w:suppressAutoHyphens w:val="true"/>
      <w:ind w:left="720" w:hanging="0"/>
    </w:pPr>
    <w:rPr/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Citcie">
    <w:name w:val="Citácie"/>
    <w:basedOn w:val="Normal"/>
    <w:qFormat/>
    <w:pPr>
      <w:spacing w:before="0" w:after="283"/>
      <w:ind w:left="567" w:right="567" w:hanging="0"/>
    </w:pPr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Nzov">
    <w:name w:val="Názov"/>
    <w:basedOn w:val="Nadpis"/>
    <w:next w:val="Telotextu"/>
    <w:pPr>
      <w:jc w:val="center"/>
    </w:pPr>
    <w:rPr>
      <w:b/>
      <w:bCs/>
      <w:sz w:val="56"/>
      <w:szCs w:val="56"/>
    </w:rPr>
  </w:style>
  <w:style w:type="paragraph" w:styleId="Podnzov">
    <w:name w:val="Podnázov"/>
    <w:basedOn w:val="Nadpis"/>
    <w:next w:val="Telotex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306</TotalTime>
  <Application>LibreOffice/4.4.4.3$Windows_x86 LibreOffice_project/2c39ebcf046445232b798108aa8a7e7d89552ea8</Application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2016-08-31T07:13:00Z</dcterms:created>
  <dc:creator>Anton Giertli</dc:creator>
  <dc:language>sk-SK</dc:language>
  <cp:revision>1</cp:revision>
</cp:coreProperties>
</file>